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40B36" w14:textId="63DF0C4F" w:rsidR="00952408" w:rsidRDefault="005522B0" w:rsidP="005522B0">
      <w:pPr>
        <w:jc w:val="center"/>
        <w:rPr>
          <w:rFonts w:ascii="Calibri" w:eastAsia="Times New Roman" w:hAnsi="Calibri" w:cs="Calibri"/>
          <w:b/>
          <w:color w:val="000000"/>
          <w:sz w:val="32"/>
          <w:szCs w:val="32"/>
        </w:rPr>
      </w:pPr>
      <w:bookmarkStart w:id="0" w:name="_GoBack"/>
      <w:bookmarkEnd w:id="0"/>
      <w:r>
        <w:rPr>
          <w:rFonts w:ascii="Calibri" w:eastAsia="Times New Roman" w:hAnsi="Calibri" w:cs="Calibri"/>
          <w:b/>
          <w:color w:val="000000"/>
          <w:sz w:val="32"/>
          <w:szCs w:val="32"/>
        </w:rPr>
        <w:t>How</w:t>
      </w:r>
      <w:r w:rsidR="00304811" w:rsidRPr="00AE2980">
        <w:rPr>
          <w:rFonts w:ascii="Calibri" w:eastAsia="Times New Roman" w:hAnsi="Calibri" w:cs="Calibri"/>
          <w:b/>
          <w:color w:val="000000"/>
          <w:sz w:val="32"/>
          <w:szCs w:val="32"/>
        </w:rPr>
        <w:t xml:space="preserve"> </w:t>
      </w:r>
      <w:r w:rsidR="00952408">
        <w:rPr>
          <w:rFonts w:ascii="Calibri" w:eastAsia="Times New Roman" w:hAnsi="Calibri" w:cs="Calibri"/>
          <w:b/>
          <w:color w:val="000000"/>
          <w:sz w:val="32"/>
          <w:szCs w:val="32"/>
        </w:rPr>
        <w:t>Critical Illness</w:t>
      </w:r>
      <w:r>
        <w:rPr>
          <w:rFonts w:ascii="Calibri" w:eastAsia="Times New Roman" w:hAnsi="Calibri" w:cs="Calibri"/>
          <w:b/>
          <w:color w:val="000000"/>
          <w:sz w:val="32"/>
          <w:szCs w:val="32"/>
        </w:rPr>
        <w:t xml:space="preserve"> and</w:t>
      </w:r>
      <w:r w:rsidR="00952408">
        <w:rPr>
          <w:rFonts w:ascii="Calibri" w:eastAsia="Times New Roman" w:hAnsi="Calibri" w:cs="Calibri"/>
          <w:b/>
          <w:color w:val="000000"/>
          <w:sz w:val="32"/>
          <w:szCs w:val="32"/>
        </w:rPr>
        <w:t xml:space="preserve"> Accident </w:t>
      </w:r>
      <w:r>
        <w:rPr>
          <w:rFonts w:ascii="Calibri" w:eastAsia="Times New Roman" w:hAnsi="Calibri" w:cs="Calibri"/>
          <w:b/>
          <w:color w:val="000000"/>
          <w:sz w:val="32"/>
          <w:szCs w:val="32"/>
        </w:rPr>
        <w:t>Coverage Can Help You</w:t>
      </w:r>
    </w:p>
    <w:p w14:paraId="4A0037A5" w14:textId="761F0090" w:rsidR="00AE2980" w:rsidRPr="00952408" w:rsidRDefault="00304811" w:rsidP="003F46CE">
      <w:pPr>
        <w:rPr>
          <w:rStyle w:val="apple-converted-space"/>
          <w:rFonts w:ascii="Calibri" w:eastAsia="Times New Roman" w:hAnsi="Calibri" w:cs="Calibri"/>
          <w:b/>
          <w:color w:val="000000"/>
          <w:sz w:val="32"/>
          <w:szCs w:val="32"/>
        </w:rPr>
      </w:pPr>
      <w:r w:rsidRPr="00C53CBB">
        <w:rPr>
          <w:rFonts w:eastAsia="Times New Roman" w:cstheme="minorHAnsi"/>
          <w:color w:val="000000"/>
        </w:rPr>
        <w:t xml:space="preserve">Your benefits are not only part of your overall compensation through </w:t>
      </w:r>
      <w:r w:rsidR="005D771B" w:rsidRPr="00952408">
        <w:rPr>
          <w:rFonts w:eastAsia="Times New Roman" w:cstheme="minorHAnsi"/>
          <w:b/>
          <w:color w:val="000000"/>
        </w:rPr>
        <w:t>City of Lee’s</w:t>
      </w:r>
      <w:r w:rsidR="005D771B">
        <w:rPr>
          <w:rFonts w:eastAsia="Times New Roman" w:cstheme="minorHAnsi"/>
          <w:b/>
          <w:color w:val="000000"/>
        </w:rPr>
        <w:t xml:space="preserve"> Summit, </w:t>
      </w:r>
      <w:r w:rsidRPr="00C53CBB">
        <w:rPr>
          <w:rFonts w:eastAsia="Times New Roman" w:cstheme="minorHAnsi"/>
          <w:color w:val="000000"/>
        </w:rPr>
        <w:t>they also are an important part of maintaining your financial wellness</w:t>
      </w:r>
      <w:r w:rsidRPr="00C53CBB">
        <w:rPr>
          <w:rFonts w:eastAsia="Times New Roman" w:cstheme="minorHAnsi"/>
          <w:b/>
          <w:color w:val="000000"/>
        </w:rPr>
        <w:t xml:space="preserve">.  </w:t>
      </w:r>
      <w:r w:rsidRPr="00C53CBB">
        <w:rPr>
          <w:rFonts w:cstheme="minorHAnsi"/>
          <w:b/>
        </w:rPr>
        <w:t xml:space="preserve">Your benefit enrollment period, </w:t>
      </w:r>
      <w:r w:rsidR="005D771B" w:rsidRPr="00952408">
        <w:rPr>
          <w:rFonts w:ascii="Calibri" w:hAnsi="Calibri" w:cs="Calibri"/>
          <w:b/>
        </w:rPr>
        <w:t>10/19-11/6</w:t>
      </w:r>
      <w:r w:rsidRPr="00952408">
        <w:rPr>
          <w:rFonts w:cstheme="minorHAnsi"/>
          <w:b/>
        </w:rPr>
        <w:t>,</w:t>
      </w:r>
      <w:r w:rsidRPr="00952408">
        <w:rPr>
          <w:rFonts w:cstheme="minorHAnsi"/>
        </w:rPr>
        <w:t xml:space="preserve"> </w:t>
      </w:r>
      <w:r w:rsidRPr="00C53CBB">
        <w:rPr>
          <w:rFonts w:cstheme="minorHAnsi"/>
        </w:rPr>
        <w:t xml:space="preserve">is the time to help secure financial wellness for the future. </w:t>
      </w:r>
    </w:p>
    <w:p w14:paraId="00C3D4CA" w14:textId="77777777" w:rsidR="003F46CE" w:rsidRPr="00AE2980" w:rsidRDefault="003F46CE" w:rsidP="003F46CE">
      <w:pPr>
        <w:rPr>
          <w:rStyle w:val="apple-converted-space"/>
          <w:rFonts w:ascii="Helvetica" w:hAnsi="Helvetica"/>
          <w:b/>
          <w:color w:val="333333"/>
          <w:sz w:val="21"/>
          <w:szCs w:val="21"/>
          <w:shd w:val="clear" w:color="auto" w:fill="FFFFFF"/>
        </w:rPr>
      </w:pPr>
      <w:r w:rsidRPr="00AE2980">
        <w:rPr>
          <w:rStyle w:val="apple-converted-space"/>
          <w:rFonts w:ascii="Helvetica" w:hAnsi="Helvetica"/>
          <w:b/>
          <w:color w:val="333333"/>
          <w:sz w:val="21"/>
          <w:szCs w:val="21"/>
          <w:shd w:val="clear" w:color="auto" w:fill="FFFFFF"/>
        </w:rPr>
        <w:t>GET THE FACTS</w:t>
      </w:r>
    </w:p>
    <w:p w14:paraId="417A908D" w14:textId="645760D2" w:rsidR="00A652C4" w:rsidRPr="00934649" w:rsidRDefault="00A652C4" w:rsidP="00A652C4">
      <w:pPr>
        <w:rPr>
          <w:rStyle w:val="apple-converted-space"/>
          <w:rFonts w:cstheme="minorHAnsi"/>
          <w:color w:val="333333"/>
          <w:shd w:val="clear" w:color="auto" w:fill="FFFFFF"/>
        </w:rPr>
      </w:pPr>
      <w:r>
        <w:rPr>
          <w:rStyle w:val="apple-converted-space"/>
          <w:rFonts w:cstheme="minorHAnsi"/>
          <w:color w:val="333333"/>
          <w:shd w:val="clear" w:color="auto" w:fill="FFFFFF"/>
        </w:rPr>
        <w:t>Even if you have medical insurance, it may provide only limited protection against the costs of treatment for hospitalizations</w:t>
      </w:r>
      <w:r w:rsidR="00952408">
        <w:rPr>
          <w:rStyle w:val="apple-converted-space"/>
          <w:rFonts w:cstheme="minorHAnsi"/>
          <w:color w:val="333333"/>
          <w:shd w:val="clear" w:color="auto" w:fill="FFFFFF"/>
        </w:rPr>
        <w:t>, illnesses and accidents</w:t>
      </w:r>
      <w:r>
        <w:rPr>
          <w:rStyle w:val="apple-converted-space"/>
          <w:rFonts w:cstheme="minorHAnsi"/>
          <w:color w:val="333333"/>
          <w:shd w:val="clear" w:color="auto" w:fill="FFFFFF"/>
        </w:rPr>
        <w:t>. Here’s what you need to know:</w:t>
      </w:r>
    </w:p>
    <w:p w14:paraId="16083FE6" w14:textId="77777777" w:rsidR="00A652C4" w:rsidRDefault="00A652C4" w:rsidP="00A652C4">
      <w:pPr>
        <w:pStyle w:val="ListParagraph"/>
        <w:numPr>
          <w:ilvl w:val="0"/>
          <w:numId w:val="4"/>
        </w:numPr>
        <w:rPr>
          <w:rFonts w:asciiTheme="minorHAnsi" w:hAnsiTheme="minorHAnsi" w:cstheme="minorHAnsi"/>
          <w:color w:val="000000"/>
          <w:szCs w:val="22"/>
        </w:rPr>
      </w:pPr>
      <w:r>
        <w:rPr>
          <w:rFonts w:asciiTheme="minorHAnsi" w:hAnsiTheme="minorHAnsi" w:cstheme="minorHAnsi"/>
          <w:color w:val="000000"/>
          <w:szCs w:val="22"/>
        </w:rPr>
        <w:t>O</w:t>
      </w:r>
      <w:r w:rsidRPr="004D42E0">
        <w:rPr>
          <w:rFonts w:asciiTheme="minorHAnsi" w:hAnsiTheme="minorHAnsi" w:cstheme="minorHAnsi"/>
          <w:color w:val="000000"/>
          <w:szCs w:val="22"/>
        </w:rPr>
        <w:t>ne in five (20</w:t>
      </w:r>
      <w:r>
        <w:rPr>
          <w:rFonts w:asciiTheme="minorHAnsi" w:hAnsiTheme="minorHAnsi" w:cstheme="minorHAnsi"/>
          <w:color w:val="000000"/>
          <w:szCs w:val="22"/>
        </w:rPr>
        <w:t xml:space="preserve"> percent</w:t>
      </w:r>
      <w:r w:rsidRPr="004D42E0">
        <w:rPr>
          <w:rFonts w:asciiTheme="minorHAnsi" w:hAnsiTheme="minorHAnsi" w:cstheme="minorHAnsi"/>
          <w:color w:val="000000"/>
          <w:szCs w:val="22"/>
        </w:rPr>
        <w:t>) working-age Americans report having problems paying medical bills in the past year that often cause serious financial challenges and changes in employment and lifestyle</w:t>
      </w:r>
      <w:r>
        <w:rPr>
          <w:rFonts w:asciiTheme="minorHAnsi" w:hAnsiTheme="minorHAnsi" w:cstheme="minorHAnsi"/>
          <w:color w:val="000000"/>
          <w:szCs w:val="22"/>
        </w:rPr>
        <w:t>.</w:t>
      </w:r>
      <w:r w:rsidRPr="0081340E">
        <w:rPr>
          <w:rFonts w:asciiTheme="minorHAnsi" w:hAnsiTheme="minorHAnsi" w:cstheme="minorHAnsi"/>
          <w:color w:val="000000"/>
          <w:szCs w:val="22"/>
          <w:vertAlign w:val="superscript"/>
        </w:rPr>
        <w:t>1</w:t>
      </w:r>
      <w:r>
        <w:rPr>
          <w:rFonts w:asciiTheme="minorHAnsi" w:hAnsiTheme="minorHAnsi" w:cstheme="minorHAnsi"/>
          <w:color w:val="000000"/>
          <w:szCs w:val="22"/>
        </w:rPr>
        <w:br/>
      </w:r>
    </w:p>
    <w:p w14:paraId="558829C1" w14:textId="77777777" w:rsidR="00A652C4" w:rsidRDefault="00A652C4" w:rsidP="00A652C4">
      <w:pPr>
        <w:pStyle w:val="ListParagraph"/>
        <w:numPr>
          <w:ilvl w:val="0"/>
          <w:numId w:val="4"/>
        </w:numPr>
        <w:rPr>
          <w:rFonts w:asciiTheme="minorHAnsi" w:hAnsiTheme="minorHAnsi" w:cstheme="minorHAnsi"/>
          <w:color w:val="000000"/>
          <w:szCs w:val="22"/>
        </w:rPr>
      </w:pPr>
      <w:r w:rsidRPr="004D42E0">
        <w:rPr>
          <w:rFonts w:asciiTheme="minorHAnsi" w:hAnsiTheme="minorHAnsi" w:cstheme="minorHAnsi"/>
          <w:color w:val="000000"/>
          <w:szCs w:val="22"/>
        </w:rPr>
        <w:t>62 percent of those who had medical bill problems say the bills were incurred by someone who had health coverage at the time (most often through an employer).</w:t>
      </w:r>
      <w:r>
        <w:rPr>
          <w:rFonts w:asciiTheme="minorHAnsi" w:hAnsiTheme="minorHAnsi" w:cstheme="minorHAnsi"/>
          <w:color w:val="000000"/>
          <w:szCs w:val="22"/>
          <w:vertAlign w:val="superscript"/>
        </w:rPr>
        <w:t>2</w:t>
      </w:r>
      <w:r w:rsidRPr="004D42E0">
        <w:rPr>
          <w:rFonts w:asciiTheme="minorHAnsi" w:hAnsiTheme="minorHAnsi" w:cstheme="minorHAnsi"/>
          <w:color w:val="000000"/>
          <w:szCs w:val="22"/>
        </w:rPr>
        <w:t xml:space="preserve"> </w:t>
      </w:r>
    </w:p>
    <w:p w14:paraId="63B6AABA" w14:textId="77777777" w:rsidR="00A652C4" w:rsidRDefault="00A652C4" w:rsidP="00A652C4">
      <w:pPr>
        <w:pStyle w:val="ListParagraph"/>
        <w:rPr>
          <w:rFonts w:asciiTheme="minorHAnsi" w:hAnsiTheme="minorHAnsi" w:cstheme="minorHAnsi"/>
          <w:color w:val="000000"/>
          <w:szCs w:val="22"/>
        </w:rPr>
      </w:pPr>
    </w:p>
    <w:p w14:paraId="71C084B3" w14:textId="77777777" w:rsidR="00A652C4" w:rsidRPr="00D0096E" w:rsidRDefault="00A652C4" w:rsidP="00A652C4">
      <w:pPr>
        <w:pStyle w:val="ListParagraph"/>
        <w:numPr>
          <w:ilvl w:val="0"/>
          <w:numId w:val="4"/>
        </w:numPr>
        <w:rPr>
          <w:rFonts w:asciiTheme="minorHAnsi" w:hAnsiTheme="minorHAnsi" w:cstheme="minorHAnsi"/>
          <w:color w:val="000000"/>
          <w:szCs w:val="22"/>
        </w:rPr>
      </w:pPr>
      <w:r w:rsidRPr="00D0096E">
        <w:rPr>
          <w:rFonts w:asciiTheme="minorHAnsi" w:hAnsiTheme="minorHAnsi" w:cstheme="minorHAnsi"/>
          <w:color w:val="000000"/>
          <w:szCs w:val="22"/>
        </w:rPr>
        <w:t xml:space="preserve">Among those </w:t>
      </w:r>
      <w:r w:rsidRPr="00D0096E">
        <w:rPr>
          <w:rFonts w:asciiTheme="minorHAnsi" w:hAnsiTheme="minorHAnsi" w:cstheme="minorHAnsi"/>
          <w:i/>
          <w:color w:val="000000"/>
          <w:szCs w:val="22"/>
        </w:rPr>
        <w:t>with medical insurance</w:t>
      </w:r>
      <w:r w:rsidRPr="00D0096E">
        <w:rPr>
          <w:rFonts w:asciiTheme="minorHAnsi" w:hAnsiTheme="minorHAnsi" w:cstheme="minorHAnsi"/>
          <w:color w:val="000000"/>
          <w:szCs w:val="22"/>
        </w:rPr>
        <w:t xml:space="preserve">, </w:t>
      </w:r>
      <w:r w:rsidRPr="00D0096E">
        <w:rPr>
          <w:rFonts w:asciiTheme="minorHAnsi" w:hAnsiTheme="minorHAnsi" w:cstheme="minorHAnsi"/>
          <w:bCs/>
          <w:szCs w:val="22"/>
        </w:rPr>
        <w:t xml:space="preserve">63 percent used most or all their savings and 42 percent took on an extra job or worked more hours; over half (53 percent) of those </w:t>
      </w:r>
      <w:r w:rsidRPr="00D0096E">
        <w:rPr>
          <w:rFonts w:asciiTheme="minorHAnsi" w:hAnsiTheme="minorHAnsi" w:cstheme="minorHAnsi"/>
          <w:bCs/>
          <w:i/>
          <w:szCs w:val="22"/>
        </w:rPr>
        <w:t>without insurance</w:t>
      </w:r>
      <w:r w:rsidRPr="00D0096E">
        <w:rPr>
          <w:rFonts w:asciiTheme="minorHAnsi" w:hAnsiTheme="minorHAnsi" w:cstheme="minorHAnsi"/>
          <w:bCs/>
          <w:szCs w:val="22"/>
        </w:rPr>
        <w:t xml:space="preserve"> had problems paying household medical bills in the past year.</w:t>
      </w:r>
      <w:r w:rsidRPr="00D0096E">
        <w:rPr>
          <w:rFonts w:asciiTheme="minorHAnsi" w:hAnsiTheme="minorHAnsi" w:cstheme="minorHAnsi"/>
          <w:bCs/>
          <w:szCs w:val="22"/>
          <w:vertAlign w:val="superscript"/>
        </w:rPr>
        <w:t>3</w:t>
      </w:r>
      <w:r w:rsidRPr="00D0096E">
        <w:rPr>
          <w:rFonts w:asciiTheme="minorHAnsi" w:hAnsiTheme="minorHAnsi" w:cstheme="minorHAnsi"/>
          <w:bCs/>
          <w:szCs w:val="22"/>
        </w:rPr>
        <w:t xml:space="preserve"> </w:t>
      </w:r>
      <w:r w:rsidRPr="00D0096E">
        <w:rPr>
          <w:rFonts w:asciiTheme="minorHAnsi" w:hAnsiTheme="minorHAnsi" w:cstheme="minorHAnsi"/>
          <w:color w:val="000000"/>
          <w:szCs w:val="22"/>
        </w:rPr>
        <w:br/>
      </w:r>
    </w:p>
    <w:p w14:paraId="01AFACC9" w14:textId="77777777" w:rsidR="00A652C4" w:rsidRPr="004D42E0" w:rsidRDefault="00A652C4" w:rsidP="00A652C4">
      <w:pPr>
        <w:pStyle w:val="ListParagraph"/>
        <w:numPr>
          <w:ilvl w:val="0"/>
          <w:numId w:val="4"/>
        </w:numPr>
        <w:rPr>
          <w:rFonts w:asciiTheme="minorHAnsi" w:hAnsiTheme="minorHAnsi" w:cstheme="minorHAnsi"/>
          <w:color w:val="000000"/>
          <w:szCs w:val="22"/>
        </w:rPr>
      </w:pPr>
      <w:r w:rsidRPr="004D42E0">
        <w:rPr>
          <w:rFonts w:asciiTheme="minorHAnsi" w:hAnsiTheme="minorHAnsi" w:cstheme="minorHAnsi"/>
          <w:color w:val="000000"/>
          <w:szCs w:val="22"/>
        </w:rPr>
        <w:t>Of those who were insured when the bills were incurred, three-quarters  (75 percent) say that the amount they had to pay for their insurance copays, deductibles, or coinsurance was more than they could afford.</w:t>
      </w:r>
      <w:r w:rsidRPr="004D42E0">
        <w:rPr>
          <w:rFonts w:asciiTheme="minorHAnsi" w:hAnsiTheme="minorHAnsi" w:cstheme="minorHAnsi"/>
          <w:color w:val="000000"/>
          <w:szCs w:val="22"/>
          <w:vertAlign w:val="superscript"/>
        </w:rPr>
        <w:t>4</w:t>
      </w:r>
    </w:p>
    <w:p w14:paraId="00C3D4CD" w14:textId="4965B9F6" w:rsidR="004A468A" w:rsidRPr="00055C83" w:rsidRDefault="003F46CE" w:rsidP="00304811">
      <w:pPr>
        <w:rPr>
          <w:rStyle w:val="apple-converted-space"/>
          <w:rFonts w:cstheme="minorHAnsi"/>
          <w:color w:val="333333"/>
          <w:shd w:val="clear" w:color="auto" w:fill="FFFFFF"/>
        </w:rPr>
      </w:pPr>
      <w:r w:rsidRPr="00C53CBB">
        <w:rPr>
          <w:rFonts w:cstheme="minorHAnsi"/>
          <w:color w:val="333333"/>
        </w:rPr>
        <w:br/>
      </w:r>
      <w:r w:rsidR="00F8265B" w:rsidRPr="006F1DDB">
        <w:rPr>
          <w:rStyle w:val="apple-converted-space"/>
          <w:rFonts w:cstheme="minorHAnsi"/>
          <w:b/>
          <w:color w:val="333333"/>
          <w:shd w:val="clear" w:color="auto" w:fill="FFFFFF"/>
        </w:rPr>
        <w:t xml:space="preserve">Critical </w:t>
      </w:r>
      <w:r w:rsidR="00F8265B" w:rsidRPr="00055C83">
        <w:rPr>
          <w:rStyle w:val="apple-converted-space"/>
          <w:rFonts w:cstheme="minorHAnsi"/>
          <w:b/>
          <w:color w:val="333333"/>
          <w:shd w:val="clear" w:color="auto" w:fill="FFFFFF"/>
        </w:rPr>
        <w:t>Illness insurance</w:t>
      </w:r>
      <w:r w:rsidR="00F8265B" w:rsidRPr="006F1DDB">
        <w:rPr>
          <w:rStyle w:val="apple-converted-space"/>
          <w:rFonts w:cstheme="minorHAnsi"/>
          <w:color w:val="333333"/>
          <w:shd w:val="clear" w:color="auto" w:fill="FFFFFF"/>
        </w:rPr>
        <w:t xml:space="preserve"> can help fill coverage gaps with a cash benefit for specific medical conditions, such as cancer, heart attack and stroke, helping to pay out-of-pocket medical costs and to offset nonmedical  costs associated with treatment (such as child care or </w:t>
      </w:r>
      <w:r w:rsidR="00F8265B" w:rsidRPr="00055C83">
        <w:rPr>
          <w:rStyle w:val="apple-converted-space"/>
          <w:rFonts w:cstheme="minorHAnsi"/>
          <w:color w:val="333333"/>
          <w:shd w:val="clear" w:color="auto" w:fill="FFFFFF"/>
        </w:rPr>
        <w:t>transportation).</w:t>
      </w:r>
    </w:p>
    <w:p w14:paraId="3EE0A7CB" w14:textId="58E9A36B" w:rsidR="00F8265B" w:rsidRDefault="00055C83" w:rsidP="00952408">
      <w:pPr>
        <w:autoSpaceDE w:val="0"/>
        <w:autoSpaceDN w:val="0"/>
        <w:adjustRightInd w:val="0"/>
        <w:spacing w:after="0" w:line="240" w:lineRule="auto"/>
        <w:rPr>
          <w:rFonts w:cstheme="minorHAnsi"/>
        </w:rPr>
      </w:pPr>
      <w:r w:rsidRPr="00055C83">
        <w:rPr>
          <w:rFonts w:cstheme="minorHAnsi"/>
        </w:rPr>
        <w:t xml:space="preserve">An accident can happen to anyone, and recovery can be costly. Your medical insurance may pick up most of the tab, but leave you with out-of-pocket expenses that add up quickly. </w:t>
      </w:r>
      <w:r w:rsidRPr="00055C83">
        <w:rPr>
          <w:rFonts w:cstheme="minorHAnsi"/>
          <w:b/>
        </w:rPr>
        <w:t>Accident insurance</w:t>
      </w:r>
      <w:r w:rsidRPr="00055C83">
        <w:rPr>
          <w:rFonts w:cstheme="minorHAnsi"/>
        </w:rPr>
        <w:t xml:space="preserve"> provides benefits for covered accidental injuries, related services, and treatments.</w:t>
      </w:r>
    </w:p>
    <w:p w14:paraId="162F233B" w14:textId="77777777" w:rsidR="00952408" w:rsidRPr="00952408" w:rsidRDefault="00952408" w:rsidP="00952408">
      <w:pPr>
        <w:autoSpaceDE w:val="0"/>
        <w:autoSpaceDN w:val="0"/>
        <w:adjustRightInd w:val="0"/>
        <w:spacing w:after="0" w:line="240" w:lineRule="auto"/>
        <w:rPr>
          <w:rFonts w:cstheme="minorHAnsi"/>
        </w:rPr>
      </w:pPr>
    </w:p>
    <w:p w14:paraId="7C602319" w14:textId="77777777" w:rsidR="00D0096E" w:rsidRDefault="00D0096E" w:rsidP="00D0096E">
      <w:pPr>
        <w:rPr>
          <w:rFonts w:eastAsiaTheme="minorEastAsia" w:cstheme="minorHAnsi"/>
          <w:noProof/>
        </w:rPr>
      </w:pPr>
      <w:r>
        <w:rPr>
          <w:rFonts w:cstheme="minorHAnsi"/>
          <w:color w:val="333333"/>
        </w:rPr>
        <w:t>You can enroll</w:t>
      </w:r>
      <w:r w:rsidR="00C719E6" w:rsidRPr="00C53CBB">
        <w:rPr>
          <w:rFonts w:cstheme="minorHAnsi"/>
        </w:rPr>
        <w:t xml:space="preserve"> </w:t>
      </w:r>
      <w:r>
        <w:rPr>
          <w:rFonts w:cstheme="minorHAnsi"/>
        </w:rPr>
        <w:t>in these plans</w:t>
      </w:r>
      <w:r w:rsidR="00C719E6" w:rsidRPr="00C53CBB">
        <w:rPr>
          <w:rFonts w:cstheme="minorHAnsi"/>
        </w:rPr>
        <w:t xml:space="preserve"> </w:t>
      </w:r>
      <w:r w:rsidR="00C719E6" w:rsidRPr="00C53CBB">
        <w:rPr>
          <w:rFonts w:cstheme="minorHAnsi"/>
          <w:b/>
        </w:rPr>
        <w:t>without having to provide evidence of insurability (EOI)</w:t>
      </w:r>
      <w:r w:rsidR="00F8265B">
        <w:rPr>
          <w:rFonts w:cstheme="minorHAnsi"/>
          <w:b/>
          <w:vertAlign w:val="superscript"/>
        </w:rPr>
        <w:t>5</w:t>
      </w:r>
      <w:r>
        <w:rPr>
          <w:rFonts w:cstheme="minorHAnsi"/>
        </w:rPr>
        <w:t xml:space="preserve">. </w:t>
      </w:r>
      <w:r>
        <w:rPr>
          <w:rFonts w:eastAsiaTheme="minorEastAsia" w:cstheme="minorHAnsi"/>
          <w:noProof/>
        </w:rPr>
        <w:t xml:space="preserve">You can elect coverage for yourself, your spouse and/or your child(ren). </w:t>
      </w:r>
    </w:p>
    <w:p w14:paraId="2495D537" w14:textId="2182D90A" w:rsidR="00AE2980" w:rsidRDefault="004A468A" w:rsidP="00D0096E">
      <w:pPr>
        <w:rPr>
          <w:rFonts w:cstheme="minorHAnsi"/>
        </w:rPr>
      </w:pPr>
      <w:r w:rsidRPr="00173F0F">
        <w:rPr>
          <w:rFonts w:cstheme="minorHAnsi"/>
          <w:color w:val="000000" w:themeColor="text1"/>
        </w:rPr>
        <w:br/>
      </w:r>
      <w:r w:rsidR="00173F0F" w:rsidRPr="00D0096E">
        <w:rPr>
          <w:rFonts w:cstheme="minorHAnsi"/>
        </w:rPr>
        <w:t xml:space="preserve">To begin enrolling, visit </w:t>
      </w:r>
      <w:r w:rsidR="00D0096E" w:rsidRPr="00D0096E">
        <w:rPr>
          <w:rFonts w:cstheme="minorHAnsi"/>
          <w:highlight w:val="yellow"/>
        </w:rPr>
        <w:t>Selerix URL</w:t>
      </w:r>
      <w:r w:rsidR="00173F0F" w:rsidRPr="00173F0F">
        <w:rPr>
          <w:rFonts w:cstheme="minorHAnsi"/>
        </w:rPr>
        <w:t xml:space="preserve"> </w:t>
      </w:r>
    </w:p>
    <w:p w14:paraId="5541CC2D" w14:textId="77777777" w:rsidR="00AE2980" w:rsidRDefault="00AE2980" w:rsidP="00173F0F">
      <w:pPr>
        <w:pStyle w:val="Default"/>
        <w:rPr>
          <w:rFonts w:asciiTheme="minorHAnsi" w:hAnsiTheme="minorHAnsi" w:cstheme="minorHAnsi"/>
          <w:sz w:val="22"/>
          <w:szCs w:val="22"/>
        </w:rPr>
      </w:pPr>
    </w:p>
    <w:p w14:paraId="5842C665" w14:textId="77777777" w:rsidR="00AE2980" w:rsidRDefault="00AE2980" w:rsidP="00173F0F">
      <w:pPr>
        <w:pStyle w:val="Default"/>
        <w:rPr>
          <w:rFonts w:asciiTheme="minorHAnsi" w:hAnsiTheme="minorHAnsi" w:cstheme="minorHAnsi"/>
          <w:sz w:val="22"/>
          <w:szCs w:val="22"/>
        </w:rPr>
      </w:pPr>
    </w:p>
    <w:p w14:paraId="4328A84B" w14:textId="77777777" w:rsidR="00061386" w:rsidRDefault="00061386" w:rsidP="00173F0F">
      <w:pPr>
        <w:pStyle w:val="Default"/>
        <w:rPr>
          <w:rFonts w:asciiTheme="minorHAnsi" w:hAnsiTheme="minorHAnsi" w:cstheme="minorHAnsi"/>
          <w:b/>
          <w:color w:val="C00000"/>
        </w:rPr>
      </w:pPr>
    </w:p>
    <w:p w14:paraId="0A3A55C0" w14:textId="77777777" w:rsidR="00055C83" w:rsidRDefault="00055C83" w:rsidP="00E10679">
      <w:pPr>
        <w:pStyle w:val="Default"/>
        <w:rPr>
          <w:rFonts w:asciiTheme="minorHAnsi" w:hAnsiTheme="minorHAnsi" w:cstheme="minorHAnsi"/>
          <w:sz w:val="20"/>
          <w:szCs w:val="20"/>
        </w:rPr>
      </w:pPr>
    </w:p>
    <w:p w14:paraId="3C9AF1FD" w14:textId="77777777" w:rsidR="001827C3" w:rsidRPr="00055C83" w:rsidRDefault="001827C3" w:rsidP="00E10679">
      <w:pPr>
        <w:pStyle w:val="Default"/>
        <w:rPr>
          <w:rFonts w:asciiTheme="minorHAnsi" w:hAnsiTheme="minorHAnsi" w:cstheme="minorHAnsi"/>
          <w:sz w:val="20"/>
          <w:szCs w:val="20"/>
        </w:rPr>
      </w:pPr>
      <w:r w:rsidRPr="00036FDC">
        <w:rPr>
          <w:rFonts w:asciiTheme="minorHAnsi" w:hAnsiTheme="minorHAnsi" w:cstheme="minorHAnsi"/>
          <w:sz w:val="20"/>
          <w:szCs w:val="20"/>
        </w:rPr>
        <w:t xml:space="preserve">The Hartford® is The Hartford Financial Services Group, Inc. and its subsidiaries, including issuing companies Hartford Life Insurance Company and Hartford Life and Accident Insurance Company. Home Office is Hartford, CT.  All benefits are subject to the terms and conditions of the policy. Policies underwritten by the issuing companies </w:t>
      </w:r>
      <w:r w:rsidRPr="00055C83">
        <w:rPr>
          <w:rFonts w:asciiTheme="minorHAnsi" w:hAnsiTheme="minorHAnsi" w:cstheme="minorHAnsi"/>
          <w:sz w:val="20"/>
          <w:szCs w:val="20"/>
        </w:rPr>
        <w:lastRenderedPageBreak/>
        <w:t>listed above detail exclusions, limitations, reduction of benefits and terms under which the policies may be continued in force or discontinued.</w:t>
      </w:r>
    </w:p>
    <w:p w14:paraId="4B814C1A" w14:textId="77777777" w:rsidR="00A1566A" w:rsidRPr="00055C83" w:rsidRDefault="00A1566A" w:rsidP="001827C3">
      <w:pPr>
        <w:pStyle w:val="Default"/>
        <w:rPr>
          <w:rFonts w:asciiTheme="minorHAnsi" w:hAnsiTheme="minorHAnsi" w:cstheme="minorHAnsi"/>
          <w:sz w:val="20"/>
          <w:szCs w:val="20"/>
        </w:rPr>
      </w:pPr>
    </w:p>
    <w:p w14:paraId="4B904590" w14:textId="50C857CD" w:rsidR="00F8265B" w:rsidRPr="00055C83" w:rsidRDefault="00F8265B" w:rsidP="00F8265B">
      <w:pPr>
        <w:pStyle w:val="Default"/>
        <w:rPr>
          <w:rFonts w:asciiTheme="minorHAnsi" w:hAnsiTheme="minorHAnsi" w:cstheme="minorHAnsi"/>
          <w:color w:val="333333"/>
          <w:sz w:val="20"/>
          <w:szCs w:val="20"/>
        </w:rPr>
      </w:pPr>
      <w:r w:rsidRPr="00055C83">
        <w:rPr>
          <w:rFonts w:asciiTheme="minorHAnsi" w:hAnsiTheme="minorHAnsi" w:cstheme="minorHAnsi"/>
          <w:color w:val="333333"/>
          <w:sz w:val="20"/>
          <w:szCs w:val="20"/>
          <w:vertAlign w:val="superscript"/>
        </w:rPr>
        <w:t>1-4</w:t>
      </w:r>
      <w:r w:rsidR="00055C83">
        <w:rPr>
          <w:rFonts w:asciiTheme="minorHAnsi" w:hAnsiTheme="minorHAnsi" w:cstheme="minorHAnsi"/>
          <w:color w:val="333333"/>
          <w:sz w:val="20"/>
          <w:szCs w:val="20"/>
          <w:vertAlign w:val="superscript"/>
        </w:rPr>
        <w:t xml:space="preserve"> </w:t>
      </w:r>
      <w:r w:rsidRPr="00055C83">
        <w:rPr>
          <w:rFonts w:asciiTheme="minorHAnsi" w:hAnsiTheme="minorHAnsi" w:cstheme="minorHAnsi"/>
          <w:color w:val="333333"/>
          <w:sz w:val="20"/>
          <w:szCs w:val="20"/>
        </w:rPr>
        <w:t>Kaiser Family Foundation/New York Times Medical Bills Survey, January 2016</w:t>
      </w:r>
    </w:p>
    <w:p w14:paraId="78C98C8F" w14:textId="77777777" w:rsidR="00F8265B" w:rsidRPr="00952408" w:rsidRDefault="00F8265B" w:rsidP="00F8265B">
      <w:pPr>
        <w:pStyle w:val="Default"/>
        <w:rPr>
          <w:rFonts w:asciiTheme="minorHAnsi" w:hAnsiTheme="minorHAnsi" w:cstheme="minorHAnsi"/>
          <w:color w:val="C00000"/>
          <w:sz w:val="20"/>
          <w:szCs w:val="20"/>
        </w:rPr>
      </w:pPr>
      <w:r w:rsidRPr="00952408">
        <w:rPr>
          <w:rFonts w:asciiTheme="minorHAnsi" w:hAnsiTheme="minorHAnsi" w:cstheme="minorHAnsi"/>
          <w:color w:val="0070C0"/>
          <w:sz w:val="20"/>
          <w:szCs w:val="20"/>
        </w:rPr>
        <w:t>http://www.kff.org/health-costs/report/the-burden-of-medical-debt-results-from-the-kaiser-family-foundationnew-york-times-medical-bills-survey/</w:t>
      </w:r>
    </w:p>
    <w:p w14:paraId="672255B0" w14:textId="77777777" w:rsidR="00F8265B" w:rsidRPr="00055C83" w:rsidRDefault="00F8265B" w:rsidP="00F8265B">
      <w:pPr>
        <w:spacing w:after="0"/>
        <w:rPr>
          <w:sz w:val="20"/>
          <w:szCs w:val="20"/>
          <w:vertAlign w:val="superscript"/>
        </w:rPr>
      </w:pPr>
    </w:p>
    <w:p w14:paraId="2B3E3800" w14:textId="30DD2D50" w:rsidR="00F8265B" w:rsidRPr="00055C83" w:rsidRDefault="00F8265B" w:rsidP="00F8265B">
      <w:pPr>
        <w:spacing w:after="0"/>
        <w:rPr>
          <w:sz w:val="20"/>
          <w:szCs w:val="20"/>
        </w:rPr>
      </w:pPr>
      <w:r w:rsidRPr="00055C83">
        <w:rPr>
          <w:sz w:val="20"/>
          <w:szCs w:val="20"/>
          <w:vertAlign w:val="superscript"/>
        </w:rPr>
        <w:t>5</w:t>
      </w:r>
      <w:r w:rsidR="00055C83">
        <w:rPr>
          <w:sz w:val="20"/>
          <w:szCs w:val="20"/>
          <w:vertAlign w:val="superscript"/>
        </w:rPr>
        <w:t xml:space="preserve"> </w:t>
      </w:r>
      <w:r w:rsidRPr="00055C83">
        <w:rPr>
          <w:sz w:val="20"/>
          <w:szCs w:val="20"/>
        </w:rPr>
        <w:t>The Critical Illness plan is guaranteed issue, but it does contain a Pre-existing Conditions Limitation. Please refer to the certificate for more information on exclusions and limitations, such as Pre-Existing Conditions.</w:t>
      </w:r>
    </w:p>
    <w:p w14:paraId="0CF72388" w14:textId="77777777" w:rsidR="00F8265B" w:rsidRPr="00055C83" w:rsidRDefault="00F8265B" w:rsidP="00F8265B">
      <w:pPr>
        <w:pStyle w:val="Default"/>
        <w:rPr>
          <w:rFonts w:asciiTheme="minorHAnsi" w:hAnsiTheme="minorHAnsi" w:cstheme="minorHAnsi"/>
          <w:sz w:val="20"/>
          <w:szCs w:val="20"/>
        </w:rPr>
      </w:pPr>
    </w:p>
    <w:p w14:paraId="001ACF7C" w14:textId="4EA590D8" w:rsidR="00F8265B" w:rsidRPr="00D069BE" w:rsidRDefault="00F8265B" w:rsidP="00F8265B">
      <w:pPr>
        <w:pStyle w:val="Default"/>
        <w:rPr>
          <w:rFonts w:asciiTheme="minorHAnsi" w:hAnsiTheme="minorHAnsi" w:cstheme="minorHAnsi"/>
          <w:sz w:val="20"/>
          <w:szCs w:val="20"/>
        </w:rPr>
      </w:pPr>
      <w:r w:rsidRPr="00055C83">
        <w:rPr>
          <w:rFonts w:asciiTheme="minorHAnsi" w:hAnsiTheme="minorHAnsi" w:cstheme="minorHAnsi"/>
          <w:sz w:val="20"/>
          <w:szCs w:val="20"/>
        </w:rPr>
        <w:t xml:space="preserve">THIS </w:t>
      </w:r>
      <w:r w:rsidR="005E7392">
        <w:rPr>
          <w:rFonts w:asciiTheme="minorHAnsi" w:hAnsiTheme="minorHAnsi" w:cstheme="minorHAnsi"/>
          <w:sz w:val="20"/>
          <w:szCs w:val="20"/>
        </w:rPr>
        <w:t xml:space="preserve">CRITICAL ILLNESS </w:t>
      </w:r>
      <w:r w:rsidRPr="00055C83">
        <w:rPr>
          <w:rFonts w:asciiTheme="minorHAnsi" w:hAnsiTheme="minorHAnsi" w:cstheme="minorHAnsi"/>
          <w:sz w:val="20"/>
          <w:szCs w:val="20"/>
        </w:rPr>
        <w:t>POLICY PROVIDES LIMITED BENEFITS FOR SPECIFIED DISEASES ONLY. This limited benefit plan (1) does not constitute major medical coverage, and</w:t>
      </w:r>
      <w:r w:rsidRPr="00D069BE">
        <w:rPr>
          <w:rFonts w:asciiTheme="minorHAnsi" w:hAnsiTheme="minorHAnsi" w:cstheme="minorHAnsi"/>
          <w:sz w:val="20"/>
          <w:szCs w:val="20"/>
        </w:rPr>
        <w:t xml:space="preserve"> (2) does not satisfy the individual mandate of the Affordable Care Act (ACA) because the coverage does not meet the requirements of minimum essential coverage. </w:t>
      </w:r>
    </w:p>
    <w:p w14:paraId="1F966891" w14:textId="77777777" w:rsidR="00F8265B" w:rsidRPr="00D069BE" w:rsidRDefault="00F8265B" w:rsidP="00F8265B">
      <w:pPr>
        <w:pStyle w:val="Default"/>
        <w:rPr>
          <w:rFonts w:asciiTheme="minorHAnsi" w:hAnsiTheme="minorHAnsi" w:cstheme="minorHAnsi"/>
          <w:sz w:val="20"/>
          <w:szCs w:val="20"/>
        </w:rPr>
      </w:pPr>
    </w:p>
    <w:p w14:paraId="68365612" w14:textId="77777777" w:rsidR="00F8265B" w:rsidRPr="00055C83" w:rsidRDefault="00F8265B" w:rsidP="00F8265B">
      <w:pPr>
        <w:pStyle w:val="Default"/>
        <w:rPr>
          <w:rFonts w:asciiTheme="minorHAnsi" w:hAnsiTheme="minorHAnsi" w:cstheme="minorHAnsi"/>
          <w:color w:val="000000" w:themeColor="text1"/>
          <w:sz w:val="20"/>
          <w:szCs w:val="20"/>
        </w:rPr>
      </w:pPr>
      <w:r w:rsidRPr="00D069BE">
        <w:rPr>
          <w:rFonts w:asciiTheme="minorHAnsi" w:hAnsiTheme="minorHAnsi" w:cstheme="minorHAnsi"/>
          <w:sz w:val="20"/>
          <w:szCs w:val="20"/>
        </w:rPr>
        <w:t xml:space="preserve">In New York: </w:t>
      </w:r>
      <w:r w:rsidRPr="00055C83">
        <w:rPr>
          <w:rFonts w:asciiTheme="minorHAnsi" w:hAnsiTheme="minorHAnsi" w:cstheme="minorHAnsi"/>
          <w:color w:val="000000" w:themeColor="text1"/>
          <w:sz w:val="20"/>
          <w:szCs w:val="20"/>
        </w:rPr>
        <w:t>This policy provides limited benefits health insurance only. It does NOT provide basic hospital, basic medical or major medical insurance as defined by the New York State Department of Financial Services.</w:t>
      </w:r>
    </w:p>
    <w:p w14:paraId="0790DF23" w14:textId="77777777" w:rsidR="00F8265B" w:rsidRPr="00055C83" w:rsidRDefault="00F8265B" w:rsidP="00F8265B">
      <w:pPr>
        <w:pStyle w:val="Default"/>
        <w:rPr>
          <w:rFonts w:asciiTheme="minorHAnsi" w:hAnsiTheme="minorHAnsi" w:cstheme="minorHAnsi"/>
          <w:color w:val="000000" w:themeColor="text1"/>
          <w:sz w:val="20"/>
          <w:szCs w:val="20"/>
        </w:rPr>
      </w:pPr>
    </w:p>
    <w:p w14:paraId="02DF02B5" w14:textId="3E39DDD9" w:rsidR="00055C83" w:rsidRDefault="00055C83" w:rsidP="005D771B">
      <w:pPr>
        <w:spacing w:after="0"/>
        <w:rPr>
          <w:rFonts w:cstheme="minorHAnsi"/>
          <w:color w:val="000000" w:themeColor="text1"/>
          <w:sz w:val="20"/>
          <w:szCs w:val="20"/>
        </w:rPr>
      </w:pPr>
      <w:r w:rsidRPr="00055C83">
        <w:rPr>
          <w:rFonts w:cstheme="minorHAnsi"/>
          <w:color w:val="000000" w:themeColor="text1"/>
          <w:sz w:val="20"/>
          <w:szCs w:val="20"/>
        </w:rPr>
        <w:t xml:space="preserve">Accident Form Series includes GBD-2000, GBD-2300, or state equivalent. </w:t>
      </w:r>
      <w:r w:rsidR="00F8265B" w:rsidRPr="00055C83">
        <w:rPr>
          <w:rFonts w:cstheme="minorHAnsi"/>
          <w:color w:val="000000" w:themeColor="text1"/>
          <w:sz w:val="20"/>
          <w:szCs w:val="20"/>
        </w:rPr>
        <w:t>Critical Illness Form Series includes GBD-2600, GBD-2700, or state equivalent.</w:t>
      </w:r>
      <w:r>
        <w:rPr>
          <w:rFonts w:cstheme="minorHAnsi"/>
          <w:color w:val="000000" w:themeColor="text1"/>
          <w:sz w:val="20"/>
          <w:szCs w:val="20"/>
        </w:rPr>
        <w:t xml:space="preserve"> </w:t>
      </w:r>
    </w:p>
    <w:p w14:paraId="6BAB5DA2" w14:textId="77777777" w:rsidR="00952408" w:rsidRDefault="00952408" w:rsidP="005D771B">
      <w:pPr>
        <w:spacing w:after="0"/>
        <w:rPr>
          <w:rFonts w:cstheme="minorHAnsi"/>
          <w:color w:val="000000" w:themeColor="text1"/>
          <w:sz w:val="20"/>
          <w:szCs w:val="20"/>
        </w:rPr>
      </w:pPr>
    </w:p>
    <w:p w14:paraId="3BE5177A" w14:textId="0514025D" w:rsidR="00952408" w:rsidRPr="00952408" w:rsidRDefault="00952408" w:rsidP="00952408">
      <w:pPr>
        <w:rPr>
          <w:rFonts w:eastAsia="Calibri" w:cstheme="minorHAnsi"/>
          <w:color w:val="000000"/>
          <w:sz w:val="20"/>
          <w:szCs w:val="20"/>
        </w:rPr>
      </w:pPr>
      <w:r w:rsidRPr="00962BAC">
        <w:rPr>
          <w:rFonts w:eastAsia="Calibri" w:cstheme="minorHAnsi"/>
          <w:color w:val="000000" w:themeColor="text1"/>
          <w:sz w:val="20"/>
          <w:szCs w:val="20"/>
        </w:rPr>
        <w:t xml:space="preserve">THIS IS A HOSPITAL CONFINEMENT INDEMNITY POLICY. THE POLICY PROVIDES LIMITED BENEFITS. This limited benefit plan (1) does not constitute major medical coverage, and (2) does not satisfy the individual mandate of the Affordable Care Act (ACA) because </w:t>
      </w:r>
      <w:r w:rsidRPr="00036FDC">
        <w:rPr>
          <w:rFonts w:eastAsia="Calibri" w:cstheme="minorHAnsi"/>
          <w:color w:val="000000"/>
          <w:sz w:val="20"/>
          <w:szCs w:val="20"/>
        </w:rPr>
        <w:t>the coverage does not meet the requirements of minimum essential coverage.</w:t>
      </w:r>
    </w:p>
    <w:p w14:paraId="5EC27C09" w14:textId="77777777" w:rsidR="00952408" w:rsidRPr="00036FDC" w:rsidRDefault="00952408" w:rsidP="00952408">
      <w:pPr>
        <w:spacing w:after="0"/>
        <w:rPr>
          <w:sz w:val="20"/>
          <w:szCs w:val="20"/>
        </w:rPr>
      </w:pPr>
      <w:r>
        <w:rPr>
          <w:sz w:val="20"/>
          <w:szCs w:val="20"/>
          <w:vertAlign w:val="superscript"/>
        </w:rPr>
        <w:t xml:space="preserve">5 </w:t>
      </w:r>
      <w:r w:rsidRPr="00036FDC">
        <w:rPr>
          <w:sz w:val="20"/>
          <w:szCs w:val="20"/>
        </w:rPr>
        <w:t>The Hospital Indemnity plan is guaranteed issue, but it does contain a Pre-existing Conditions Limitation. Please refer to the certificate for more information on exclusions and limitations, such as Pre-Existing Conditions.</w:t>
      </w:r>
    </w:p>
    <w:p w14:paraId="661D4181" w14:textId="77777777" w:rsidR="00952408" w:rsidRPr="00036FDC" w:rsidRDefault="00952408" w:rsidP="00952408">
      <w:pPr>
        <w:spacing w:after="0"/>
        <w:rPr>
          <w:sz w:val="20"/>
          <w:szCs w:val="20"/>
        </w:rPr>
      </w:pPr>
    </w:p>
    <w:p w14:paraId="0B66E2B5" w14:textId="6E984F01" w:rsidR="00952408" w:rsidRPr="00036FDC" w:rsidRDefault="00952408" w:rsidP="00952408">
      <w:pPr>
        <w:spacing w:after="0"/>
        <w:rPr>
          <w:sz w:val="20"/>
          <w:szCs w:val="20"/>
        </w:rPr>
      </w:pPr>
      <w:r w:rsidRPr="00036FDC">
        <w:rPr>
          <w:sz w:val="20"/>
          <w:szCs w:val="20"/>
        </w:rPr>
        <w:t>Hospital Income Plan Form Series includes GBD-2800, GBD-2900, or state equivalent</w:t>
      </w:r>
      <w:r>
        <w:rPr>
          <w:sz w:val="20"/>
          <w:szCs w:val="20"/>
        </w:rPr>
        <w:t xml:space="preserve">. </w:t>
      </w:r>
    </w:p>
    <w:p w14:paraId="0DFB3DEA" w14:textId="77777777" w:rsidR="00952408" w:rsidRDefault="00952408" w:rsidP="005D771B">
      <w:pPr>
        <w:spacing w:after="0"/>
        <w:rPr>
          <w:rFonts w:cstheme="minorHAnsi"/>
          <w:color w:val="000000" w:themeColor="text1"/>
          <w:sz w:val="20"/>
          <w:szCs w:val="20"/>
        </w:rPr>
      </w:pPr>
    </w:p>
    <w:p w14:paraId="46DEF1AF" w14:textId="77777777" w:rsidR="00055C83" w:rsidRDefault="00055C83" w:rsidP="00036FDC">
      <w:pPr>
        <w:spacing w:after="0"/>
        <w:rPr>
          <w:rFonts w:cstheme="minorHAnsi"/>
          <w:color w:val="000000" w:themeColor="text1"/>
          <w:sz w:val="20"/>
          <w:szCs w:val="20"/>
        </w:rPr>
      </w:pPr>
    </w:p>
    <w:sectPr w:rsidR="00055C8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FC87" w14:textId="77777777" w:rsidR="005A283D" w:rsidRDefault="005A283D" w:rsidP="003F46CE">
      <w:pPr>
        <w:spacing w:after="0" w:line="240" w:lineRule="auto"/>
      </w:pPr>
      <w:r>
        <w:separator/>
      </w:r>
    </w:p>
  </w:endnote>
  <w:endnote w:type="continuationSeparator" w:id="0">
    <w:p w14:paraId="5B6BB1D3" w14:textId="77777777" w:rsidR="005A283D" w:rsidRDefault="005A283D" w:rsidP="003F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am Condensed Book">
    <w:altName w:val="Gotham Condensed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D4E0" w14:textId="4A67C1E0" w:rsidR="003F46CE" w:rsidRPr="00425BF9" w:rsidRDefault="00425BF9" w:rsidP="00425BF9">
    <w:pPr>
      <w:pStyle w:val="Footer"/>
      <w:jc w:val="center"/>
    </w:pPr>
    <w:r>
      <w:rPr>
        <w:rFonts w:cstheme="minorHAnsi"/>
        <w:color w:val="000000" w:themeColor="text1"/>
        <w:sz w:val="20"/>
        <w:szCs w:val="20"/>
      </w:rPr>
      <w:fldChar w:fldCharType="begin" w:fldLock="1"/>
    </w:r>
    <w:r>
      <w:rPr>
        <w:rFonts w:cstheme="minorHAnsi"/>
        <w:color w:val="000000" w:themeColor="text1"/>
        <w:sz w:val="20"/>
        <w:szCs w:val="20"/>
      </w:rPr>
      <w:instrText xml:space="preserve"> DOCPROPERTY bjFooterEvenPageDocProperty \* MERGEFORMAT </w:instrText>
    </w:r>
    <w:r>
      <w:rPr>
        <w:rFonts w:cstheme="minorHAnsi"/>
        <w:color w:val="000000" w:themeColor="text1"/>
        <w:sz w:val="20"/>
        <w:szCs w:val="20"/>
      </w:rPr>
      <w:fldChar w:fldCharType="separate"/>
    </w:r>
    <w:r w:rsidRPr="005D771B">
      <w:rPr>
        <w:rFonts w:ascii="Arial" w:hAnsi="Arial" w:cs="Arial"/>
        <w:i/>
        <w:color w:val="000000"/>
        <w:sz w:val="12"/>
        <w:szCs w:val="20"/>
      </w:rPr>
      <w:t>© 2020 by The Hartford. Classification: Non-Confidential. No part of this document may be reproduced, published or used without the permission of The Hartford.</w:t>
    </w:r>
    <w:r>
      <w:rPr>
        <w:rFonts w:cstheme="minorHAnsi"/>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D4E2" w14:textId="089308B9" w:rsidR="003F46CE" w:rsidRPr="00425BF9" w:rsidRDefault="00425BF9" w:rsidP="00425BF9">
    <w:pPr>
      <w:pStyle w:val="Footer"/>
      <w:jc w:val="center"/>
    </w:pPr>
    <w:r>
      <w:rPr>
        <w:rFonts w:cstheme="minorHAnsi"/>
        <w:color w:val="000000" w:themeColor="text1"/>
        <w:sz w:val="20"/>
        <w:szCs w:val="20"/>
      </w:rPr>
      <w:fldChar w:fldCharType="begin" w:fldLock="1"/>
    </w:r>
    <w:r>
      <w:rPr>
        <w:rFonts w:cstheme="minorHAnsi"/>
        <w:color w:val="000000" w:themeColor="text1"/>
        <w:sz w:val="20"/>
        <w:szCs w:val="20"/>
      </w:rPr>
      <w:instrText xml:space="preserve"> DOCPROPERTY bjFooterBothDocProperty \* MERGEFORMAT </w:instrText>
    </w:r>
    <w:r>
      <w:rPr>
        <w:rFonts w:cstheme="minorHAnsi"/>
        <w:color w:val="000000" w:themeColor="text1"/>
        <w:sz w:val="20"/>
        <w:szCs w:val="20"/>
      </w:rPr>
      <w:fldChar w:fldCharType="separate"/>
    </w:r>
    <w:r w:rsidRPr="005D771B">
      <w:rPr>
        <w:rFonts w:ascii="Arial" w:hAnsi="Arial" w:cs="Arial"/>
        <w:i/>
        <w:color w:val="000000"/>
        <w:sz w:val="12"/>
        <w:szCs w:val="20"/>
      </w:rPr>
      <w:t>© 2020 by The Hartford. Classification: Non-Confidential. No part of this document may be reproduced, published or used without the permission of The Hartford.</w:t>
    </w:r>
    <w:r>
      <w:rPr>
        <w:rFonts w:cstheme="minorHAnsi"/>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D4E5" w14:textId="37D31F49" w:rsidR="003F46CE" w:rsidRPr="00425BF9" w:rsidRDefault="00425BF9" w:rsidP="00425BF9">
    <w:pPr>
      <w:pStyle w:val="Footer"/>
      <w:jc w:val="center"/>
    </w:pPr>
    <w:r>
      <w:rPr>
        <w:rFonts w:cstheme="minorHAnsi"/>
        <w:color w:val="000000" w:themeColor="text1"/>
        <w:sz w:val="20"/>
        <w:szCs w:val="20"/>
      </w:rPr>
      <w:fldChar w:fldCharType="begin" w:fldLock="1"/>
    </w:r>
    <w:r>
      <w:rPr>
        <w:rFonts w:cstheme="minorHAnsi"/>
        <w:color w:val="000000" w:themeColor="text1"/>
        <w:sz w:val="20"/>
        <w:szCs w:val="20"/>
      </w:rPr>
      <w:instrText xml:space="preserve"> DOCPROPERTY bjFooterFirstPageDocProperty \* MERGEFORMAT </w:instrText>
    </w:r>
    <w:r>
      <w:rPr>
        <w:rFonts w:cstheme="minorHAnsi"/>
        <w:color w:val="000000" w:themeColor="text1"/>
        <w:sz w:val="20"/>
        <w:szCs w:val="20"/>
      </w:rPr>
      <w:fldChar w:fldCharType="separate"/>
    </w:r>
    <w:r w:rsidRPr="005D771B">
      <w:rPr>
        <w:rFonts w:ascii="Arial" w:hAnsi="Arial" w:cs="Arial"/>
        <w:i/>
        <w:color w:val="000000"/>
        <w:sz w:val="12"/>
        <w:szCs w:val="20"/>
      </w:rPr>
      <w:t>© 2020 by The Hartford. Classification: Non-Confidential. No part of this document may be reproduced, published or used without the permission of The Hartford.</w:t>
    </w:r>
    <w:r>
      <w:rPr>
        <w:rFonts w:cstheme="minorHAnsi"/>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A6DF" w14:textId="77777777" w:rsidR="005A283D" w:rsidRDefault="005A283D" w:rsidP="003F46CE">
      <w:pPr>
        <w:spacing w:after="0" w:line="240" w:lineRule="auto"/>
      </w:pPr>
      <w:r>
        <w:separator/>
      </w:r>
    </w:p>
  </w:footnote>
  <w:footnote w:type="continuationSeparator" w:id="0">
    <w:p w14:paraId="1D1F10C1" w14:textId="77777777" w:rsidR="005A283D" w:rsidRDefault="005A283D" w:rsidP="003F4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D878" w14:textId="77777777" w:rsidR="00425BF9" w:rsidRDefault="00425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1521" w14:textId="77777777" w:rsidR="00425BF9" w:rsidRDefault="00425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CA6A" w14:textId="77777777" w:rsidR="00425BF9" w:rsidRDefault="0042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67782"/>
    <w:multiLevelType w:val="hybridMultilevel"/>
    <w:tmpl w:val="21B4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13AE"/>
    <w:multiLevelType w:val="hybridMultilevel"/>
    <w:tmpl w:val="79C8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C5513"/>
    <w:multiLevelType w:val="hybridMultilevel"/>
    <w:tmpl w:val="F04C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D24D1"/>
    <w:multiLevelType w:val="hybridMultilevel"/>
    <w:tmpl w:val="747C552C"/>
    <w:lvl w:ilvl="0" w:tplc="2DC423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11"/>
    <w:rsid w:val="00036FDC"/>
    <w:rsid w:val="00052D38"/>
    <w:rsid w:val="00055C83"/>
    <w:rsid w:val="00061386"/>
    <w:rsid w:val="00085C4A"/>
    <w:rsid w:val="000905D4"/>
    <w:rsid w:val="000D40A2"/>
    <w:rsid w:val="00144350"/>
    <w:rsid w:val="00156500"/>
    <w:rsid w:val="00173F0F"/>
    <w:rsid w:val="001827C3"/>
    <w:rsid w:val="0019309D"/>
    <w:rsid w:val="00294CE0"/>
    <w:rsid w:val="00304811"/>
    <w:rsid w:val="00315D2B"/>
    <w:rsid w:val="00324EEF"/>
    <w:rsid w:val="003B23DC"/>
    <w:rsid w:val="003F46CE"/>
    <w:rsid w:val="00425BF9"/>
    <w:rsid w:val="00432D88"/>
    <w:rsid w:val="004708A4"/>
    <w:rsid w:val="004A468A"/>
    <w:rsid w:val="004E7773"/>
    <w:rsid w:val="005522B0"/>
    <w:rsid w:val="0056490A"/>
    <w:rsid w:val="005A0E1A"/>
    <w:rsid w:val="005A283D"/>
    <w:rsid w:val="005D771B"/>
    <w:rsid w:val="005E7392"/>
    <w:rsid w:val="006028E0"/>
    <w:rsid w:val="006214E6"/>
    <w:rsid w:val="007243ED"/>
    <w:rsid w:val="00733746"/>
    <w:rsid w:val="00746E36"/>
    <w:rsid w:val="0075210D"/>
    <w:rsid w:val="00766BC0"/>
    <w:rsid w:val="00796C32"/>
    <w:rsid w:val="007C2F80"/>
    <w:rsid w:val="00857192"/>
    <w:rsid w:val="008A3454"/>
    <w:rsid w:val="008C5ECB"/>
    <w:rsid w:val="00952408"/>
    <w:rsid w:val="0097663A"/>
    <w:rsid w:val="0098601A"/>
    <w:rsid w:val="009C53AF"/>
    <w:rsid w:val="00A1566A"/>
    <w:rsid w:val="00A652C4"/>
    <w:rsid w:val="00AD0467"/>
    <w:rsid w:val="00AD4667"/>
    <w:rsid w:val="00AE2980"/>
    <w:rsid w:val="00B225CA"/>
    <w:rsid w:val="00B27919"/>
    <w:rsid w:val="00B40459"/>
    <w:rsid w:val="00B63265"/>
    <w:rsid w:val="00B83E80"/>
    <w:rsid w:val="00BB4E96"/>
    <w:rsid w:val="00C1127A"/>
    <w:rsid w:val="00C245E0"/>
    <w:rsid w:val="00C3158F"/>
    <w:rsid w:val="00C370B4"/>
    <w:rsid w:val="00C53CBB"/>
    <w:rsid w:val="00C719E6"/>
    <w:rsid w:val="00C765D6"/>
    <w:rsid w:val="00CD4A55"/>
    <w:rsid w:val="00D0096E"/>
    <w:rsid w:val="00D308E9"/>
    <w:rsid w:val="00E10679"/>
    <w:rsid w:val="00E548E3"/>
    <w:rsid w:val="00F8265B"/>
    <w:rsid w:val="00FA7E95"/>
    <w:rsid w:val="00FD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C3D4C3"/>
  <w15:docId w15:val="{57B5A28F-A634-4A3D-8DFA-D4804392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811"/>
    <w:pPr>
      <w:spacing w:after="0" w:line="240" w:lineRule="auto"/>
    </w:pPr>
  </w:style>
  <w:style w:type="character" w:customStyle="1" w:styleId="apple-converted-space">
    <w:name w:val="apple-converted-space"/>
    <w:basedOn w:val="DefaultParagraphFont"/>
    <w:rsid w:val="00304811"/>
  </w:style>
  <w:style w:type="paragraph" w:styleId="ListParagraph">
    <w:name w:val="List Paragraph"/>
    <w:basedOn w:val="Normal"/>
    <w:uiPriority w:val="34"/>
    <w:qFormat/>
    <w:rsid w:val="004A468A"/>
    <w:pPr>
      <w:spacing w:after="0" w:line="240" w:lineRule="auto"/>
      <w:ind w:left="720"/>
      <w:contextualSpacing/>
    </w:pPr>
    <w:rPr>
      <w:rFonts w:ascii="Calibri" w:eastAsia="Times New Roman" w:hAnsi="Calibri" w:cs="Times New Roman"/>
      <w:szCs w:val="24"/>
    </w:rPr>
  </w:style>
  <w:style w:type="character" w:styleId="Hyperlink">
    <w:name w:val="Hyperlink"/>
    <w:basedOn w:val="DefaultParagraphFont"/>
    <w:uiPriority w:val="99"/>
    <w:unhideWhenUsed/>
    <w:rsid w:val="004A468A"/>
    <w:rPr>
      <w:color w:val="0000FF" w:themeColor="hyperlink"/>
      <w:u w:val="single"/>
    </w:rPr>
  </w:style>
  <w:style w:type="paragraph" w:styleId="Header">
    <w:name w:val="header"/>
    <w:basedOn w:val="Normal"/>
    <w:link w:val="HeaderChar"/>
    <w:uiPriority w:val="99"/>
    <w:unhideWhenUsed/>
    <w:rsid w:val="003F4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6CE"/>
  </w:style>
  <w:style w:type="paragraph" w:styleId="Footer">
    <w:name w:val="footer"/>
    <w:basedOn w:val="Normal"/>
    <w:link w:val="FooterChar"/>
    <w:uiPriority w:val="99"/>
    <w:unhideWhenUsed/>
    <w:rsid w:val="003F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6CE"/>
  </w:style>
  <w:style w:type="paragraph" w:customStyle="1" w:styleId="Default">
    <w:name w:val="Default"/>
    <w:rsid w:val="004708A4"/>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173F0F"/>
    <w:rPr>
      <w:color w:val="800080" w:themeColor="followedHyperlink"/>
      <w:u w:val="single"/>
    </w:rPr>
  </w:style>
  <w:style w:type="character" w:styleId="CommentReference">
    <w:name w:val="annotation reference"/>
    <w:basedOn w:val="DefaultParagraphFont"/>
    <w:uiPriority w:val="99"/>
    <w:semiHidden/>
    <w:unhideWhenUsed/>
    <w:rsid w:val="00173F0F"/>
    <w:rPr>
      <w:sz w:val="16"/>
      <w:szCs w:val="16"/>
    </w:rPr>
  </w:style>
  <w:style w:type="paragraph" w:styleId="CommentText">
    <w:name w:val="annotation text"/>
    <w:basedOn w:val="Normal"/>
    <w:link w:val="CommentTextChar"/>
    <w:uiPriority w:val="99"/>
    <w:semiHidden/>
    <w:unhideWhenUsed/>
    <w:rsid w:val="00173F0F"/>
    <w:pPr>
      <w:spacing w:line="240" w:lineRule="auto"/>
    </w:pPr>
    <w:rPr>
      <w:sz w:val="20"/>
      <w:szCs w:val="20"/>
    </w:rPr>
  </w:style>
  <w:style w:type="character" w:customStyle="1" w:styleId="CommentTextChar">
    <w:name w:val="Comment Text Char"/>
    <w:basedOn w:val="DefaultParagraphFont"/>
    <w:link w:val="CommentText"/>
    <w:uiPriority w:val="99"/>
    <w:semiHidden/>
    <w:rsid w:val="00173F0F"/>
    <w:rPr>
      <w:sz w:val="20"/>
      <w:szCs w:val="20"/>
    </w:rPr>
  </w:style>
  <w:style w:type="paragraph" w:styleId="CommentSubject">
    <w:name w:val="annotation subject"/>
    <w:basedOn w:val="CommentText"/>
    <w:next w:val="CommentText"/>
    <w:link w:val="CommentSubjectChar"/>
    <w:uiPriority w:val="99"/>
    <w:semiHidden/>
    <w:unhideWhenUsed/>
    <w:rsid w:val="00173F0F"/>
    <w:rPr>
      <w:b/>
      <w:bCs/>
    </w:rPr>
  </w:style>
  <w:style w:type="character" w:customStyle="1" w:styleId="CommentSubjectChar">
    <w:name w:val="Comment Subject Char"/>
    <w:basedOn w:val="CommentTextChar"/>
    <w:link w:val="CommentSubject"/>
    <w:uiPriority w:val="99"/>
    <w:semiHidden/>
    <w:rsid w:val="00173F0F"/>
    <w:rPr>
      <w:b/>
      <w:bCs/>
      <w:sz w:val="20"/>
      <w:szCs w:val="20"/>
    </w:rPr>
  </w:style>
  <w:style w:type="paragraph" w:styleId="BalloonText">
    <w:name w:val="Balloon Text"/>
    <w:basedOn w:val="Normal"/>
    <w:link w:val="BalloonTextChar"/>
    <w:uiPriority w:val="99"/>
    <w:semiHidden/>
    <w:unhideWhenUsed/>
    <w:rsid w:val="00173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0F"/>
    <w:rPr>
      <w:rFonts w:ascii="Segoe UI" w:hAnsi="Segoe UI" w:cs="Segoe UI"/>
      <w:sz w:val="18"/>
      <w:szCs w:val="18"/>
    </w:rPr>
  </w:style>
  <w:style w:type="character" w:customStyle="1" w:styleId="A6">
    <w:name w:val="A6"/>
    <w:uiPriority w:val="99"/>
    <w:rsid w:val="00173F0F"/>
    <w:rPr>
      <w:rFonts w:cs="Gotham Condensed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246de94c-8867-47b0-926e-310c120d49ea" origin="userSelected">
  <element uid="id_classification_generalbusiness" value=""/>
  <element uid="3b25754d-024a-43c2-8ac8-dabf3de22e95" value=""/>
</sisl>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</Value>
</WrappedLabelHistor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55EE-3496-46F4-9818-688DAD088A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AD60949-C127-4683-A5B0-1382C54F3878}">
  <ds:schemaRefs>
    <ds:schemaRef ds:uri="http://schemas.microsoft.com/sharepoint/v3/contenttype/forms"/>
  </ds:schemaRefs>
</ds:datastoreItem>
</file>

<file path=customXml/itemProps3.xml><?xml version="1.0" encoding="utf-8"?>
<ds:datastoreItem xmlns:ds="http://schemas.openxmlformats.org/officeDocument/2006/customXml" ds:itemID="{37AB42F7-CE62-4163-99E8-1B26C16A8C4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A15FB1C-5998-48A9-970F-2CA6BAA63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866A956-5144-4ED5-85EB-D4C41C81A130}">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3DE681F6-D7F8-4961-BC54-56EA68B7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Hartford</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Jean, Heidi H (Group Benefits)</dc:creator>
  <cp:keywords>#1nt3rn@l# #Sh0w-F00t3r#</cp:keywords>
  <cp:lastModifiedBy>Amanda Graves</cp:lastModifiedBy>
  <cp:revision>2</cp:revision>
  <dcterms:created xsi:type="dcterms:W3CDTF">2020-09-27T01:54:00Z</dcterms:created>
  <dcterms:modified xsi:type="dcterms:W3CDTF">2020-09-27T01:54:00Z</dcterms:modified>
  <cp:category>Non-Confidential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a6285cbc-0535-403a-8789-2d279e1ffd39</vt:lpwstr>
  </property>
  <property fmtid="{D5CDD505-2E9C-101B-9397-08002B2CF9AE}" pid="3" name="bjSaver">
    <vt:lpwstr>uENJ41Ixo4QRUzzUG8o1VKiYPAFCgYJ5</vt:lpwstr>
  </property>
  <property fmtid="{D5CDD505-2E9C-101B-9397-08002B2CF9AE}" pid="4" name="bjLabelHistoryID">
    <vt:lpwstr>{1866A956-5144-4ED5-85EB-D4C41C81A130}</vt:lpwstr>
  </property>
  <property fmtid="{D5CDD505-2E9C-101B-9397-08002B2CF9AE}" pid="5"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6" name="bjDocumentLabelXML-0">
    <vt:lpwstr>ames.com/2008/01/sie/internal/label"&gt;&lt;element uid="id_classification_generalbusiness" value="" /&gt;&lt;element uid="3b25754d-024a-43c2-8ac8-dabf3de22e95" value="" /&gt;&lt;/sisl&gt;</vt:lpwstr>
  </property>
  <property fmtid="{D5CDD505-2E9C-101B-9397-08002B2CF9AE}" pid="7" name="bjDocumentSecurityLabel">
    <vt:lpwstr>Non-Confidential</vt:lpwstr>
  </property>
  <property fmtid="{D5CDD505-2E9C-101B-9397-08002B2CF9AE}" pid="8" name="bjClsUserRVM">
    <vt:lpwstr>[]</vt:lpwstr>
  </property>
  <property fmtid="{D5CDD505-2E9C-101B-9397-08002B2CF9AE}" pid="9" name="bjFooterBothDocProperty">
    <vt:lpwstr>© 2020 by The Hartford. Classification: Non-Confidential. No part of this document may be reproduced, published or used without the permission of The Hartford.</vt:lpwstr>
  </property>
  <property fmtid="{D5CDD505-2E9C-101B-9397-08002B2CF9AE}" pid="10" name="bjFooterFirstPageDocProperty">
    <vt:lpwstr>© 2020 by The Hartford. Classification: Non-Confidential. No part of this document may be reproduced, published or used without the permission of The Hartford.</vt:lpwstr>
  </property>
  <property fmtid="{D5CDD505-2E9C-101B-9397-08002B2CF9AE}" pid="11" name="bjFooterEvenPageDocProperty">
    <vt:lpwstr>© 2020 by The Hartford. Classification: Non-Confidential. No part of this document may be reproduced, published or used without the permission of The Hartford.</vt:lpwstr>
  </property>
  <property fmtid="{D5CDD505-2E9C-101B-9397-08002B2CF9AE}" pid="12" name="MSIP_Label_af9a9fb5-8459-489b-9937-9305db2d4a1e_Enabled">
    <vt:lpwstr>True</vt:lpwstr>
  </property>
  <property fmtid="{D5CDD505-2E9C-101B-9397-08002B2CF9AE}" pid="13" name="MSIP_Label_af9a9fb5-8459-489b-9937-9305db2d4a1e_SiteId">
    <vt:lpwstr>08b82c73-ecf6-44a9-8c2f-82dc434cdbf6</vt:lpwstr>
  </property>
  <property fmtid="{D5CDD505-2E9C-101B-9397-08002B2CF9AE}" pid="14" name="MSIP_Label_af9a9fb5-8459-489b-9937-9305db2d4a1e_Owner">
    <vt:lpwstr>AGraves@holmesmurphy.com</vt:lpwstr>
  </property>
  <property fmtid="{D5CDD505-2E9C-101B-9397-08002B2CF9AE}" pid="15" name="MSIP_Label_af9a9fb5-8459-489b-9937-9305db2d4a1e_SetDate">
    <vt:lpwstr>2020-09-27T01:53:56.0894751Z</vt:lpwstr>
  </property>
  <property fmtid="{D5CDD505-2E9C-101B-9397-08002B2CF9AE}" pid="16" name="MSIP_Label_af9a9fb5-8459-489b-9937-9305db2d4a1e_Name">
    <vt:lpwstr>Public</vt:lpwstr>
  </property>
  <property fmtid="{D5CDD505-2E9C-101B-9397-08002B2CF9AE}" pid="17" name="MSIP_Label_af9a9fb5-8459-489b-9937-9305db2d4a1e_Application">
    <vt:lpwstr>Microsoft Azure Information Protection</vt:lpwstr>
  </property>
  <property fmtid="{D5CDD505-2E9C-101B-9397-08002B2CF9AE}" pid="18" name="MSIP_Label_af9a9fb5-8459-489b-9937-9305db2d4a1e_ActionId">
    <vt:lpwstr>e460a637-18d3-43cc-ac5b-357c0f655d42</vt:lpwstr>
  </property>
  <property fmtid="{D5CDD505-2E9C-101B-9397-08002B2CF9AE}" pid="19" name="MSIP_Label_af9a9fb5-8459-489b-9937-9305db2d4a1e_Extended_MSFT_Method">
    <vt:lpwstr>Automatic</vt:lpwstr>
  </property>
  <property fmtid="{D5CDD505-2E9C-101B-9397-08002B2CF9AE}" pid="20" name="Sensitivity">
    <vt:lpwstr>Public</vt:lpwstr>
  </property>
</Properties>
</file>